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E9935D" w14:textId="77777777" w:rsidR="007F670E" w:rsidRPr="00AC319E" w:rsidRDefault="007F670E" w:rsidP="00AC319E">
      <w:pPr>
        <w:spacing w:after="0" w:line="480" w:lineRule="auto"/>
        <w:rPr>
          <w:rFonts w:ascii="Times New Roman" w:hAnsi="Times New Roman" w:cs="Times New Roman"/>
          <w:b/>
          <w:sz w:val="24"/>
          <w:szCs w:val="24"/>
        </w:rPr>
      </w:pPr>
    </w:p>
    <w:p w14:paraId="3AC72F20" w14:textId="77777777" w:rsidR="007F670E" w:rsidRPr="00AC319E" w:rsidRDefault="007F670E" w:rsidP="00AC319E">
      <w:pPr>
        <w:spacing w:after="0" w:line="480" w:lineRule="auto"/>
        <w:rPr>
          <w:rFonts w:ascii="Times New Roman" w:hAnsi="Times New Roman" w:cs="Times New Roman"/>
          <w:b/>
          <w:sz w:val="24"/>
          <w:szCs w:val="24"/>
        </w:rPr>
      </w:pPr>
    </w:p>
    <w:p w14:paraId="0667BE63" w14:textId="77777777" w:rsidR="007F670E" w:rsidRPr="00AC319E" w:rsidRDefault="007F670E" w:rsidP="00AC319E">
      <w:pPr>
        <w:spacing w:after="0" w:line="480" w:lineRule="auto"/>
        <w:rPr>
          <w:rFonts w:ascii="Times New Roman" w:hAnsi="Times New Roman" w:cs="Times New Roman"/>
          <w:b/>
          <w:sz w:val="24"/>
          <w:szCs w:val="24"/>
        </w:rPr>
      </w:pPr>
    </w:p>
    <w:p w14:paraId="54FF94AF" w14:textId="77777777" w:rsidR="007F670E" w:rsidRDefault="007F670E" w:rsidP="00AC319E">
      <w:pPr>
        <w:spacing w:after="0" w:line="480" w:lineRule="auto"/>
        <w:rPr>
          <w:rFonts w:ascii="Times New Roman" w:hAnsi="Times New Roman" w:cs="Times New Roman"/>
          <w:b/>
          <w:sz w:val="24"/>
          <w:szCs w:val="24"/>
        </w:rPr>
      </w:pPr>
    </w:p>
    <w:p w14:paraId="508A7FDA" w14:textId="77777777" w:rsidR="0043162B" w:rsidRDefault="0043162B" w:rsidP="00AC319E">
      <w:pPr>
        <w:spacing w:after="0" w:line="480" w:lineRule="auto"/>
        <w:rPr>
          <w:rFonts w:ascii="Times New Roman" w:hAnsi="Times New Roman" w:cs="Times New Roman"/>
          <w:b/>
          <w:sz w:val="24"/>
          <w:szCs w:val="24"/>
        </w:rPr>
      </w:pPr>
    </w:p>
    <w:p w14:paraId="6C57AC87" w14:textId="77777777" w:rsidR="0043162B" w:rsidRDefault="0043162B" w:rsidP="00AC319E">
      <w:pPr>
        <w:spacing w:after="0" w:line="480" w:lineRule="auto"/>
        <w:rPr>
          <w:rFonts w:ascii="Times New Roman" w:hAnsi="Times New Roman" w:cs="Times New Roman"/>
          <w:b/>
          <w:sz w:val="24"/>
          <w:szCs w:val="24"/>
        </w:rPr>
      </w:pPr>
    </w:p>
    <w:p w14:paraId="7A82AB2E" w14:textId="77777777" w:rsidR="0043162B" w:rsidRDefault="0043162B" w:rsidP="00AC319E">
      <w:pPr>
        <w:spacing w:after="0" w:line="480" w:lineRule="auto"/>
        <w:rPr>
          <w:rFonts w:ascii="Times New Roman" w:hAnsi="Times New Roman" w:cs="Times New Roman"/>
          <w:b/>
          <w:sz w:val="24"/>
          <w:szCs w:val="24"/>
        </w:rPr>
      </w:pPr>
    </w:p>
    <w:p w14:paraId="01EDF289" w14:textId="77777777" w:rsidR="0043162B" w:rsidRPr="00AC319E" w:rsidRDefault="0043162B" w:rsidP="00AC319E">
      <w:pPr>
        <w:spacing w:after="0" w:line="480" w:lineRule="auto"/>
        <w:rPr>
          <w:rFonts w:ascii="Times New Roman" w:hAnsi="Times New Roman" w:cs="Times New Roman"/>
          <w:b/>
          <w:sz w:val="24"/>
          <w:szCs w:val="24"/>
        </w:rPr>
      </w:pPr>
      <w:bookmarkStart w:id="0" w:name="_GoBack"/>
      <w:bookmarkEnd w:id="0"/>
    </w:p>
    <w:p w14:paraId="6BF7EAAB" w14:textId="10A3DE86" w:rsidR="007F670E" w:rsidRPr="00AC319E" w:rsidRDefault="00016DAA" w:rsidP="00AC319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Case Study: </w:t>
      </w:r>
      <w:r w:rsidR="007F670E" w:rsidRPr="00AC319E">
        <w:rPr>
          <w:rFonts w:ascii="Times New Roman" w:hAnsi="Times New Roman" w:cs="Times New Roman"/>
          <w:sz w:val="24"/>
          <w:szCs w:val="24"/>
        </w:rPr>
        <w:t>TSB BANK-UK</w:t>
      </w:r>
    </w:p>
    <w:p w14:paraId="20F28DF2" w14:textId="77777777" w:rsidR="007F670E" w:rsidRPr="00AC319E" w:rsidRDefault="007F670E" w:rsidP="00AC319E">
      <w:pPr>
        <w:spacing w:after="0" w:line="480" w:lineRule="auto"/>
        <w:jc w:val="center"/>
        <w:rPr>
          <w:rFonts w:ascii="Times New Roman" w:hAnsi="Times New Roman" w:cs="Times New Roman"/>
          <w:sz w:val="24"/>
          <w:szCs w:val="24"/>
        </w:rPr>
      </w:pPr>
      <w:r w:rsidRPr="00AC319E">
        <w:rPr>
          <w:rFonts w:ascii="Times New Roman" w:hAnsi="Times New Roman" w:cs="Times New Roman"/>
          <w:sz w:val="24"/>
          <w:szCs w:val="24"/>
        </w:rPr>
        <w:t>Name</w:t>
      </w:r>
    </w:p>
    <w:p w14:paraId="255571F6" w14:textId="7B8FA3C4" w:rsidR="007F670E" w:rsidRPr="00AC319E" w:rsidRDefault="0043162B" w:rsidP="00AC319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w:t>
      </w:r>
    </w:p>
    <w:p w14:paraId="5A01B54B" w14:textId="77777777" w:rsidR="007F670E" w:rsidRPr="00AC319E" w:rsidRDefault="007F670E" w:rsidP="00AC319E">
      <w:pPr>
        <w:spacing w:after="0" w:line="480" w:lineRule="auto"/>
        <w:rPr>
          <w:rFonts w:ascii="Times New Roman" w:hAnsi="Times New Roman" w:cs="Times New Roman"/>
          <w:b/>
          <w:sz w:val="24"/>
          <w:szCs w:val="24"/>
        </w:rPr>
      </w:pPr>
    </w:p>
    <w:p w14:paraId="0E94F0AA" w14:textId="77777777" w:rsidR="007F670E" w:rsidRPr="00AC319E" w:rsidRDefault="007F670E" w:rsidP="00AC319E">
      <w:pPr>
        <w:spacing w:after="0" w:line="480" w:lineRule="auto"/>
        <w:rPr>
          <w:rFonts w:ascii="Times New Roman" w:hAnsi="Times New Roman" w:cs="Times New Roman"/>
          <w:b/>
          <w:sz w:val="24"/>
          <w:szCs w:val="24"/>
        </w:rPr>
      </w:pPr>
    </w:p>
    <w:p w14:paraId="02E16B40" w14:textId="77777777" w:rsidR="007F670E" w:rsidRPr="00AC319E" w:rsidRDefault="007F670E" w:rsidP="00AC319E">
      <w:pPr>
        <w:spacing w:after="0" w:line="480" w:lineRule="auto"/>
        <w:rPr>
          <w:rFonts w:ascii="Times New Roman" w:hAnsi="Times New Roman" w:cs="Times New Roman"/>
          <w:b/>
          <w:sz w:val="24"/>
          <w:szCs w:val="24"/>
        </w:rPr>
      </w:pPr>
    </w:p>
    <w:p w14:paraId="125BEF45" w14:textId="77777777" w:rsidR="00AC319E" w:rsidRDefault="00AC319E">
      <w:pPr>
        <w:rPr>
          <w:rFonts w:ascii="Times New Roman" w:hAnsi="Times New Roman" w:cs="Times New Roman"/>
          <w:b/>
          <w:sz w:val="24"/>
          <w:szCs w:val="24"/>
        </w:rPr>
      </w:pPr>
      <w:r>
        <w:rPr>
          <w:rFonts w:ascii="Times New Roman" w:hAnsi="Times New Roman" w:cs="Times New Roman"/>
          <w:b/>
          <w:sz w:val="24"/>
          <w:szCs w:val="24"/>
        </w:rPr>
        <w:br w:type="page"/>
      </w:r>
    </w:p>
    <w:p w14:paraId="3CCD644D" w14:textId="77777777" w:rsidR="00016DAA" w:rsidRPr="00AC319E" w:rsidRDefault="00016DAA" w:rsidP="00016DA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The Case Study: </w:t>
      </w:r>
      <w:r w:rsidRPr="00AC319E">
        <w:rPr>
          <w:rFonts w:ascii="Times New Roman" w:hAnsi="Times New Roman" w:cs="Times New Roman"/>
          <w:sz w:val="24"/>
          <w:szCs w:val="24"/>
        </w:rPr>
        <w:t>TSB BANK-UK</w:t>
      </w:r>
    </w:p>
    <w:p w14:paraId="2387EE3B" w14:textId="1CFF89F3" w:rsidR="007F670E" w:rsidRPr="00AC319E" w:rsidRDefault="007F670E" w:rsidP="00AC319E">
      <w:pPr>
        <w:spacing w:after="0" w:line="480" w:lineRule="auto"/>
        <w:rPr>
          <w:rFonts w:ascii="Times New Roman" w:hAnsi="Times New Roman" w:cs="Times New Roman"/>
          <w:b/>
          <w:sz w:val="24"/>
          <w:szCs w:val="24"/>
        </w:rPr>
      </w:pPr>
      <w:r w:rsidRPr="00AC319E">
        <w:rPr>
          <w:rFonts w:ascii="Times New Roman" w:hAnsi="Times New Roman" w:cs="Times New Roman"/>
          <w:b/>
          <w:sz w:val="24"/>
          <w:szCs w:val="24"/>
        </w:rPr>
        <w:t>Introduction</w:t>
      </w:r>
      <w:r w:rsidR="001C6029" w:rsidRPr="00AC319E">
        <w:rPr>
          <w:rFonts w:ascii="Times New Roman" w:hAnsi="Times New Roman" w:cs="Times New Roman"/>
          <w:b/>
          <w:sz w:val="24"/>
          <w:szCs w:val="24"/>
        </w:rPr>
        <w:t xml:space="preserve"> to the case study</w:t>
      </w:r>
    </w:p>
    <w:p w14:paraId="30CB1FA2" w14:textId="2E8DB617" w:rsidR="007F670E" w:rsidRPr="00AC319E" w:rsidRDefault="001C6029" w:rsidP="00016DAA">
      <w:pPr>
        <w:spacing w:after="0" w:line="480" w:lineRule="auto"/>
        <w:ind w:firstLine="720"/>
        <w:rPr>
          <w:rFonts w:ascii="Times New Roman" w:hAnsi="Times New Roman" w:cs="Times New Roman"/>
          <w:b/>
          <w:sz w:val="24"/>
          <w:szCs w:val="24"/>
        </w:rPr>
      </w:pPr>
      <w:r w:rsidRPr="00AC319E">
        <w:rPr>
          <w:rFonts w:ascii="Times New Roman" w:hAnsi="Times New Roman" w:cs="Times New Roman"/>
          <w:sz w:val="24"/>
          <w:szCs w:val="24"/>
        </w:rPr>
        <w:t xml:space="preserve">Most enterprises fight to remain in the maturity stage </w:t>
      </w:r>
      <w:r w:rsidRPr="00AC319E">
        <w:rPr>
          <w:rFonts w:ascii="Times New Roman" w:hAnsi="Times New Roman" w:cs="Times New Roman"/>
          <w:sz w:val="24"/>
          <w:szCs w:val="24"/>
        </w:rPr>
        <w:t>which calls for</w:t>
      </w:r>
      <w:r w:rsidRPr="00AC319E">
        <w:rPr>
          <w:rFonts w:ascii="Times New Roman" w:hAnsi="Times New Roman" w:cs="Times New Roman"/>
          <w:sz w:val="24"/>
          <w:szCs w:val="24"/>
        </w:rPr>
        <w:t xml:space="preserve"> innovations and bettered services to keep pace from other competitors whose competition would lead to a reduction in profits</w:t>
      </w:r>
      <w:r w:rsidRPr="00AC319E">
        <w:rPr>
          <w:rFonts w:ascii="Times New Roman" w:hAnsi="Times New Roman" w:cs="Times New Roman"/>
          <w:sz w:val="24"/>
          <w:szCs w:val="24"/>
        </w:rPr>
        <w:t xml:space="preserve"> Margin</w:t>
      </w:r>
      <w:r w:rsidRPr="00AC319E">
        <w:rPr>
          <w:rFonts w:ascii="Times New Roman" w:hAnsi="Times New Roman" w:cs="Times New Roman"/>
          <w:sz w:val="24"/>
          <w:szCs w:val="24"/>
        </w:rPr>
        <w:t xml:space="preserve"> (Gleeson, 2017). </w:t>
      </w:r>
      <w:r w:rsidR="007F670E" w:rsidRPr="00AC319E">
        <w:rPr>
          <w:rFonts w:ascii="Times New Roman" w:hAnsi="Times New Roman" w:cs="Times New Roman"/>
          <w:sz w:val="24"/>
          <w:szCs w:val="24"/>
        </w:rPr>
        <w:t xml:space="preserve">Our case study </w:t>
      </w:r>
      <w:r w:rsidRPr="00AC319E">
        <w:rPr>
          <w:rFonts w:ascii="Times New Roman" w:hAnsi="Times New Roman" w:cs="Times New Roman"/>
          <w:sz w:val="24"/>
          <w:szCs w:val="24"/>
        </w:rPr>
        <w:t>focuses on TSB</w:t>
      </w:r>
      <w:r w:rsidR="007F670E" w:rsidRPr="00AC319E">
        <w:rPr>
          <w:rFonts w:ascii="Times New Roman" w:hAnsi="Times New Roman" w:cs="Times New Roman"/>
          <w:sz w:val="24"/>
          <w:szCs w:val="24"/>
        </w:rPr>
        <w:t xml:space="preserve"> bank which encountered several problems in its trial to better the services they were offering to their customers. The bank was trying to move the customers’ records from one platform to a fresh one when problems arose and consequently caused the bank much loss to the extent of the resignation of the then Chief Executive Officer. The reasons for the occurrence of the problems and the problems faced during the time are well outlined in the research work.</w:t>
      </w:r>
      <w:r w:rsidRPr="00AC319E">
        <w:rPr>
          <w:rFonts w:ascii="Times New Roman" w:hAnsi="Times New Roman" w:cs="Times New Roman"/>
          <w:sz w:val="24"/>
          <w:szCs w:val="24"/>
        </w:rPr>
        <w:t xml:space="preserve"> This paper will provide a detailed background to the TSB bank Case study, give description of situational problem to the company and analyze the root causes of the issues. </w:t>
      </w:r>
    </w:p>
    <w:p w14:paraId="7B89474A" w14:textId="2925F00F" w:rsidR="007F670E" w:rsidRPr="00AC319E" w:rsidRDefault="001C6029" w:rsidP="00AC319E">
      <w:pPr>
        <w:spacing w:after="0" w:line="480" w:lineRule="auto"/>
        <w:rPr>
          <w:rFonts w:ascii="Times New Roman" w:hAnsi="Times New Roman" w:cs="Times New Roman"/>
          <w:b/>
          <w:sz w:val="24"/>
          <w:szCs w:val="24"/>
        </w:rPr>
      </w:pPr>
      <w:r w:rsidRPr="00AC319E">
        <w:rPr>
          <w:rFonts w:ascii="Times New Roman" w:hAnsi="Times New Roman" w:cs="Times New Roman"/>
          <w:b/>
          <w:sz w:val="24"/>
          <w:szCs w:val="24"/>
        </w:rPr>
        <w:t xml:space="preserve">Background information regarding </w:t>
      </w:r>
      <w:r w:rsidR="007F670E" w:rsidRPr="00AC319E">
        <w:rPr>
          <w:rFonts w:ascii="Times New Roman" w:hAnsi="Times New Roman" w:cs="Times New Roman"/>
          <w:b/>
          <w:sz w:val="24"/>
          <w:szCs w:val="24"/>
        </w:rPr>
        <w:t>TSB Bank</w:t>
      </w:r>
    </w:p>
    <w:p w14:paraId="4FAAEBB3" w14:textId="77777777" w:rsidR="00016DAA" w:rsidRDefault="007F670E" w:rsidP="00016DAA">
      <w:pPr>
        <w:spacing w:after="0" w:line="480" w:lineRule="auto"/>
        <w:ind w:firstLine="720"/>
        <w:rPr>
          <w:rFonts w:ascii="Times New Roman" w:hAnsi="Times New Roman" w:cs="Times New Roman"/>
          <w:sz w:val="24"/>
          <w:szCs w:val="24"/>
        </w:rPr>
      </w:pPr>
      <w:r w:rsidRPr="00AC319E">
        <w:rPr>
          <w:rFonts w:ascii="Times New Roman" w:hAnsi="Times New Roman" w:cs="Times New Roman"/>
          <w:sz w:val="24"/>
          <w:szCs w:val="24"/>
        </w:rPr>
        <w:t>TSB Bank is a renowned bank based in the United Kingdom operating widely in the better parts of England, Wales, and Scotland. It is a commercial bank as well as a retail bank whose headquarters are based in Edinburg, Scotland. The bank started as Trustee Savings Bank in 1985 before changing to TSB Scotland, TSB Bank Scotland and Lloyds TSB in 1986,1989 and 1999 respectively. Several reasons led to the numerous changing of names as well as services and systems within the financial group. It is in 2013 that the bank changed to the current name it is using ‘TSB Bank’ after which it later ceased being part of the Lloyds Banking Group. It has continually expanded its services countrywide, therefore, capturing quite a large number of customers. (TSB Bank plc, 2019). The bank currently has more than 4.6million people, and it is in point of increasing if at all situations such as what happened when the bank was conducting a migration of their customers’ records from one platform to another.</w:t>
      </w:r>
    </w:p>
    <w:p w14:paraId="4B7CF4C8" w14:textId="6B211DFF" w:rsidR="00E7518D" w:rsidRPr="00016DAA" w:rsidRDefault="00E7518D" w:rsidP="00016DAA">
      <w:pPr>
        <w:spacing w:after="0" w:line="480" w:lineRule="auto"/>
        <w:rPr>
          <w:rFonts w:ascii="Times New Roman" w:hAnsi="Times New Roman" w:cs="Times New Roman"/>
          <w:sz w:val="24"/>
          <w:szCs w:val="24"/>
        </w:rPr>
      </w:pPr>
      <w:r w:rsidRPr="00AC319E">
        <w:rPr>
          <w:rFonts w:ascii="Times New Roman" w:hAnsi="Times New Roman" w:cs="Times New Roman"/>
          <w:b/>
          <w:sz w:val="24"/>
          <w:szCs w:val="24"/>
        </w:rPr>
        <w:t xml:space="preserve">Problem Description </w:t>
      </w:r>
    </w:p>
    <w:p w14:paraId="27F87E88" w14:textId="7088B605" w:rsidR="007F670E" w:rsidRPr="00AC319E" w:rsidRDefault="00434FD1" w:rsidP="00016DAA">
      <w:pPr>
        <w:spacing w:after="0" w:line="480" w:lineRule="auto"/>
        <w:ind w:firstLine="720"/>
        <w:rPr>
          <w:rFonts w:ascii="Times New Roman" w:hAnsi="Times New Roman" w:cs="Times New Roman"/>
          <w:b/>
          <w:sz w:val="24"/>
          <w:szCs w:val="24"/>
        </w:rPr>
      </w:pPr>
      <w:r w:rsidRPr="00AC319E">
        <w:rPr>
          <w:rFonts w:ascii="Times New Roman" w:hAnsi="Times New Roman" w:cs="Times New Roman"/>
          <w:sz w:val="24"/>
          <w:szCs w:val="24"/>
        </w:rPr>
        <w:t xml:space="preserve">The intention of the company to </w:t>
      </w:r>
      <w:r w:rsidR="007F670E" w:rsidRPr="00AC319E">
        <w:rPr>
          <w:rFonts w:ascii="Times New Roman" w:hAnsi="Times New Roman" w:cs="Times New Roman"/>
          <w:sz w:val="24"/>
          <w:szCs w:val="24"/>
        </w:rPr>
        <w:t>Migrat</w:t>
      </w:r>
      <w:r w:rsidRPr="00AC319E">
        <w:rPr>
          <w:rFonts w:ascii="Times New Roman" w:hAnsi="Times New Roman" w:cs="Times New Roman"/>
          <w:sz w:val="24"/>
          <w:szCs w:val="24"/>
        </w:rPr>
        <w:t>e to Sabadell Proteo platform gave way to the issues facing it currently</w:t>
      </w:r>
      <w:r w:rsidRPr="00AC319E">
        <w:rPr>
          <w:rFonts w:ascii="Times New Roman" w:hAnsi="Times New Roman" w:cs="Times New Roman"/>
          <w:b/>
          <w:sz w:val="24"/>
          <w:szCs w:val="24"/>
        </w:rPr>
        <w:t xml:space="preserve">. </w:t>
      </w:r>
      <w:r w:rsidR="007F670E" w:rsidRPr="00AC319E">
        <w:rPr>
          <w:rFonts w:ascii="Times New Roman" w:hAnsi="Times New Roman" w:cs="Times New Roman"/>
          <w:sz w:val="24"/>
          <w:szCs w:val="24"/>
        </w:rPr>
        <w:t>In April of 2018, TSB Bank decided to migrate the customers’ record from the Lloyds Banking Group to a newer version called Sabadell Proteo platform (Tanya,</w:t>
      </w:r>
      <w:r w:rsidR="00016DAA">
        <w:rPr>
          <w:rFonts w:ascii="Times New Roman" w:hAnsi="Times New Roman" w:cs="Times New Roman"/>
          <w:sz w:val="24"/>
          <w:szCs w:val="24"/>
        </w:rPr>
        <w:t xml:space="preserve"> </w:t>
      </w:r>
      <w:r w:rsidR="007F670E" w:rsidRPr="00AC319E">
        <w:rPr>
          <w:rFonts w:ascii="Times New Roman" w:hAnsi="Times New Roman" w:cs="Times New Roman"/>
          <w:sz w:val="24"/>
          <w:szCs w:val="24"/>
        </w:rPr>
        <w:t xml:space="preserve">2017). The migration, however, became problematic as it compromised some of the consumers’ utility and leading to some losses.  </w:t>
      </w:r>
    </w:p>
    <w:p w14:paraId="3C80CA34" w14:textId="77777777" w:rsidR="007F670E" w:rsidRPr="00AC319E" w:rsidRDefault="007F670E" w:rsidP="00AC319E">
      <w:pPr>
        <w:spacing w:after="0" w:line="480" w:lineRule="auto"/>
        <w:rPr>
          <w:rFonts w:ascii="Times New Roman" w:hAnsi="Times New Roman" w:cs="Times New Roman"/>
          <w:sz w:val="24"/>
          <w:szCs w:val="24"/>
        </w:rPr>
      </w:pPr>
      <w:r w:rsidRPr="00AC319E">
        <w:rPr>
          <w:rFonts w:ascii="Times New Roman" w:hAnsi="Times New Roman" w:cs="Times New Roman"/>
          <w:b/>
          <w:sz w:val="24"/>
          <w:szCs w:val="24"/>
        </w:rPr>
        <w:t>Problem Facing TSB Bank as a result of the Migration</w:t>
      </w:r>
    </w:p>
    <w:p w14:paraId="33D9F499" w14:textId="4F16B278" w:rsidR="007F670E" w:rsidRPr="00AC319E" w:rsidRDefault="00434FD1" w:rsidP="00AC319E">
      <w:pPr>
        <w:spacing w:after="0" w:line="480" w:lineRule="auto"/>
        <w:ind w:firstLine="720"/>
        <w:rPr>
          <w:rFonts w:ascii="Times New Roman" w:hAnsi="Times New Roman" w:cs="Times New Roman"/>
          <w:sz w:val="24"/>
          <w:szCs w:val="24"/>
        </w:rPr>
      </w:pPr>
      <w:r w:rsidRPr="00AC319E">
        <w:rPr>
          <w:rFonts w:ascii="Times New Roman" w:hAnsi="Times New Roman" w:cs="Times New Roman"/>
          <w:sz w:val="24"/>
          <w:szCs w:val="24"/>
        </w:rPr>
        <w:t xml:space="preserve">Losses emanating from mobile banking system. The </w:t>
      </w:r>
      <w:r w:rsidR="007F670E" w:rsidRPr="00AC319E">
        <w:rPr>
          <w:rFonts w:ascii="Times New Roman" w:hAnsi="Times New Roman" w:cs="Times New Roman"/>
          <w:sz w:val="24"/>
          <w:szCs w:val="24"/>
        </w:rPr>
        <w:t>TSB Bank has traded using mobile banking a system that has seen it be helpful to its people by ensuring that the services are brought close to their people particularly during the days when services are not running. It has increased its usage all over, and the migration led to the failure of the mobile banking system something that led to losses to the bank and much complaints from the customers. The system was inaccessible for use during the migration period, and the online banking services users were left with problems of settling their bills since the mode of payment they had been using had been affected by the migration</w:t>
      </w:r>
    </w:p>
    <w:p w14:paraId="4B8964E7" w14:textId="77777777" w:rsidR="007F670E" w:rsidRPr="00AC319E" w:rsidRDefault="007F670E" w:rsidP="00AC319E">
      <w:pPr>
        <w:spacing w:after="0" w:line="480" w:lineRule="auto"/>
        <w:ind w:firstLine="720"/>
        <w:rPr>
          <w:rFonts w:ascii="Times New Roman" w:hAnsi="Times New Roman" w:cs="Times New Roman"/>
          <w:sz w:val="24"/>
          <w:szCs w:val="24"/>
        </w:rPr>
      </w:pPr>
      <w:r w:rsidRPr="00AC319E">
        <w:rPr>
          <w:rFonts w:ascii="Times New Roman" w:hAnsi="Times New Roman" w:cs="Times New Roman"/>
          <w:sz w:val="24"/>
          <w:szCs w:val="24"/>
        </w:rPr>
        <w:t>The migration went beyond the expected time to get to control, and most of the customers were troubled by the move. Up to two weeks after migration, online banking services were not fully restored and there were few errors related to the SQL Database. Most of the users felt there was a risk that they did not know the current condition of their accounts, owing to some few cases where other people were able to access accounts of other customers without any permission from the owners (Risk management, 2018).</w:t>
      </w:r>
    </w:p>
    <w:p w14:paraId="70F0CB28" w14:textId="77777777" w:rsidR="007F670E" w:rsidRPr="00AC319E" w:rsidRDefault="007F670E" w:rsidP="00AC319E">
      <w:pPr>
        <w:spacing w:after="0" w:line="480" w:lineRule="auto"/>
        <w:ind w:firstLine="720"/>
        <w:rPr>
          <w:rFonts w:ascii="Times New Roman" w:hAnsi="Times New Roman" w:cs="Times New Roman"/>
          <w:sz w:val="24"/>
          <w:szCs w:val="24"/>
        </w:rPr>
      </w:pPr>
      <w:r w:rsidRPr="00AC319E">
        <w:rPr>
          <w:rFonts w:ascii="Times New Roman" w:hAnsi="Times New Roman" w:cs="Times New Roman"/>
          <w:sz w:val="24"/>
          <w:szCs w:val="24"/>
        </w:rPr>
        <w:t>Privacy and confidentiality of the financial statements is something that people always want to be looked into failure to which customers would opt to go for other retail banks where they feel their accounts are well protected. The migration which is associated with Sabadell compromised the privacy of the customers where several complained of their accounts being accessible to other people who were not guarantors, and neither did, they have any patent right to access any information on behalf of the customers. The issue raised an alarm to most people where others experienced a rather different problem but equal in the measure in terms of dissatisfying the customer’s wants. The customer’s accounts had been shuffled in such a way that the bank details of people having accounts in the TSB bank exchanged among themselves as given by Torrance and Bradshaw (2018).</w:t>
      </w:r>
    </w:p>
    <w:p w14:paraId="60AEA42E" w14:textId="77777777" w:rsidR="007F670E" w:rsidRPr="00AC319E" w:rsidRDefault="007F670E" w:rsidP="00AC319E">
      <w:pPr>
        <w:spacing w:after="0" w:line="480" w:lineRule="auto"/>
        <w:ind w:firstLine="720"/>
        <w:rPr>
          <w:rFonts w:ascii="Times New Roman" w:hAnsi="Times New Roman" w:cs="Times New Roman"/>
          <w:sz w:val="24"/>
          <w:szCs w:val="24"/>
        </w:rPr>
      </w:pPr>
      <w:r w:rsidRPr="00AC319E">
        <w:rPr>
          <w:rFonts w:ascii="Times New Roman" w:hAnsi="Times New Roman" w:cs="Times New Roman"/>
          <w:sz w:val="24"/>
          <w:szCs w:val="24"/>
        </w:rPr>
        <w:t>Through a tweet from one of the customers, there was a complaint that the customer opened her account only to find arrears in her mortgage which she did not have previously before the issue of migration of their records. The problem of mortgage accounts took much longer with the issue going more than four weeks after the migration began. Transfer of money from the bank account was also compromised where one could not transfer finances from one account to another account either of the bank or through other accounts accessible through the online banking platform (Wearden,2018). Such cases are a major throw to the bank as much as it was upgrading the system with the aim of getting their services better.</w:t>
      </w:r>
    </w:p>
    <w:p w14:paraId="26DD7338" w14:textId="399D0ACA" w:rsidR="007F670E" w:rsidRPr="00AC319E" w:rsidRDefault="007F670E" w:rsidP="00AC319E">
      <w:pPr>
        <w:spacing w:after="0" w:line="480" w:lineRule="auto"/>
        <w:ind w:firstLine="720"/>
        <w:rPr>
          <w:rFonts w:ascii="Times New Roman" w:hAnsi="Times New Roman" w:cs="Times New Roman"/>
          <w:sz w:val="24"/>
          <w:szCs w:val="24"/>
        </w:rPr>
      </w:pPr>
      <w:r w:rsidRPr="00AC319E">
        <w:rPr>
          <w:rFonts w:ascii="Times New Roman" w:hAnsi="Times New Roman" w:cs="Times New Roman"/>
          <w:sz w:val="24"/>
          <w:szCs w:val="24"/>
        </w:rPr>
        <w:t>The side effects that arose from the IT problem of moving the records of accounts of the millions of customers that the bank had led to pressure on the seniors of the company and particularly to the Chief Executive Officer of that time. For much of uncertainties and failures, the Chief Executive Officer felt that he could not face the pressure that had come as a result of the migration errors and in September 2018, Paul Pester resigned from his CEO position and a temporary chairperson was picked before replacing him with a permanent executive officer (Angela,</w:t>
      </w:r>
      <w:r w:rsidR="00434FD1" w:rsidRPr="00AC319E">
        <w:rPr>
          <w:rFonts w:ascii="Times New Roman" w:hAnsi="Times New Roman" w:cs="Times New Roman"/>
          <w:sz w:val="24"/>
          <w:szCs w:val="24"/>
        </w:rPr>
        <w:t xml:space="preserve"> </w:t>
      </w:r>
      <w:r w:rsidRPr="00AC319E">
        <w:rPr>
          <w:rFonts w:ascii="Times New Roman" w:hAnsi="Times New Roman" w:cs="Times New Roman"/>
          <w:sz w:val="24"/>
          <w:szCs w:val="24"/>
        </w:rPr>
        <w:t xml:space="preserve">2018). </w:t>
      </w:r>
    </w:p>
    <w:p w14:paraId="79DA5C85" w14:textId="77DDD037" w:rsidR="00434FD1" w:rsidRPr="00AC319E" w:rsidRDefault="00016DAA" w:rsidP="00016DAA">
      <w:pPr>
        <w:spacing w:after="0" w:line="480" w:lineRule="auto"/>
        <w:rPr>
          <w:rFonts w:ascii="Times New Roman" w:hAnsi="Times New Roman" w:cs="Times New Roman"/>
          <w:b/>
          <w:sz w:val="24"/>
          <w:szCs w:val="24"/>
        </w:rPr>
      </w:pPr>
      <w:r>
        <w:rPr>
          <w:rFonts w:ascii="Times New Roman" w:hAnsi="Times New Roman" w:cs="Times New Roman"/>
          <w:b/>
          <w:sz w:val="24"/>
          <w:szCs w:val="24"/>
        </w:rPr>
        <w:t>The Root causes of</w:t>
      </w:r>
      <w:r w:rsidR="00434FD1" w:rsidRPr="00AC319E">
        <w:rPr>
          <w:rFonts w:ascii="Times New Roman" w:hAnsi="Times New Roman" w:cs="Times New Roman"/>
          <w:b/>
          <w:sz w:val="24"/>
          <w:szCs w:val="24"/>
        </w:rPr>
        <w:t xml:space="preserve"> Failure</w:t>
      </w:r>
    </w:p>
    <w:p w14:paraId="491C57D2" w14:textId="77777777" w:rsidR="00434FD1" w:rsidRPr="00AC319E" w:rsidRDefault="00434FD1" w:rsidP="00AC319E">
      <w:pPr>
        <w:spacing w:after="0" w:line="480" w:lineRule="auto"/>
        <w:ind w:firstLine="720"/>
        <w:rPr>
          <w:rFonts w:ascii="Times New Roman" w:hAnsi="Times New Roman" w:cs="Times New Roman"/>
          <w:sz w:val="24"/>
          <w:szCs w:val="24"/>
        </w:rPr>
      </w:pPr>
      <w:r w:rsidRPr="00AC319E">
        <w:rPr>
          <w:rFonts w:ascii="Times New Roman" w:hAnsi="Times New Roman" w:cs="Times New Roman"/>
          <w:sz w:val="24"/>
          <w:szCs w:val="24"/>
        </w:rPr>
        <w:t>Having tested the program in 2017, Sabadell was lest assured that there would be no issue with the migration only to find out that there were compatibility issues after the migration process. TSB Bank was naïve that the integration would go on smoothly after being tested in 2017 by Pester but did not follow up whether there were issues that arose during the testing process. Several people should have done a similar test before coming to a conclusion. Decisions over such matters need to be made well by a good number of people rather than one or two people since more people could probably come up with a better idea on the same.</w:t>
      </w:r>
    </w:p>
    <w:p w14:paraId="5F61F6B8" w14:textId="58B3BF33" w:rsidR="00434FD1" w:rsidRPr="00AC319E" w:rsidRDefault="00434FD1" w:rsidP="00AC319E">
      <w:pPr>
        <w:spacing w:after="0" w:line="480" w:lineRule="auto"/>
        <w:ind w:firstLine="720"/>
        <w:rPr>
          <w:rFonts w:ascii="Times New Roman" w:hAnsi="Times New Roman" w:cs="Times New Roman"/>
          <w:sz w:val="24"/>
          <w:szCs w:val="24"/>
        </w:rPr>
      </w:pPr>
      <w:r w:rsidRPr="00AC319E">
        <w:rPr>
          <w:rFonts w:ascii="Times New Roman" w:hAnsi="Times New Roman" w:cs="Times New Roman"/>
          <w:sz w:val="24"/>
          <w:szCs w:val="24"/>
        </w:rPr>
        <w:t>Other sources explain that the Lloyds Banking Group was ready to offer assistance for the migration something that was not taken seriously by TSB Bank head officials. The source state that they refused to be assisted in their migration process by a group that had dealt with so many situations there before and for that reason the system failed. Surprisingly, one member of the board was quoted saying that pride could be associated with the system failure</w:t>
      </w:r>
      <w:r w:rsidRPr="00AC319E">
        <w:rPr>
          <w:rFonts w:ascii="Times New Roman" w:hAnsi="Times New Roman" w:cs="Times New Roman"/>
          <w:b/>
          <w:bCs/>
          <w:sz w:val="24"/>
          <w:szCs w:val="24"/>
        </w:rPr>
        <w:t xml:space="preserve"> (</w:t>
      </w:r>
      <w:r w:rsidRPr="00AC319E">
        <w:rPr>
          <w:rFonts w:ascii="Times New Roman" w:hAnsi="Times New Roman" w:cs="Times New Roman"/>
          <w:bCs/>
          <w:sz w:val="24"/>
          <w:szCs w:val="24"/>
        </w:rPr>
        <w:t>Flinders,</w:t>
      </w:r>
      <w:r w:rsidRPr="00AC319E">
        <w:rPr>
          <w:rFonts w:ascii="Times New Roman" w:hAnsi="Times New Roman" w:cs="Times New Roman"/>
          <w:bCs/>
          <w:sz w:val="24"/>
          <w:szCs w:val="24"/>
        </w:rPr>
        <w:t xml:space="preserve"> </w:t>
      </w:r>
      <w:r w:rsidRPr="00AC319E">
        <w:rPr>
          <w:rFonts w:ascii="Times New Roman" w:hAnsi="Times New Roman" w:cs="Times New Roman"/>
          <w:bCs/>
          <w:sz w:val="24"/>
          <w:szCs w:val="24"/>
        </w:rPr>
        <w:t>2018)</w:t>
      </w:r>
      <w:r w:rsidRPr="00AC319E">
        <w:rPr>
          <w:rFonts w:ascii="Times New Roman" w:hAnsi="Times New Roman" w:cs="Times New Roman"/>
          <w:sz w:val="24"/>
          <w:szCs w:val="24"/>
        </w:rPr>
        <w:t xml:space="preserve">. </w:t>
      </w:r>
    </w:p>
    <w:p w14:paraId="4C42CC1B" w14:textId="77777777" w:rsidR="00434FD1" w:rsidRPr="00AC319E" w:rsidRDefault="00434FD1" w:rsidP="00AC319E">
      <w:pPr>
        <w:spacing w:after="0" w:line="480" w:lineRule="auto"/>
        <w:ind w:firstLine="720"/>
        <w:rPr>
          <w:rFonts w:ascii="Times New Roman" w:hAnsi="Times New Roman" w:cs="Times New Roman"/>
          <w:sz w:val="24"/>
          <w:szCs w:val="24"/>
        </w:rPr>
      </w:pPr>
      <w:r w:rsidRPr="00AC319E">
        <w:rPr>
          <w:rFonts w:ascii="Times New Roman" w:hAnsi="Times New Roman" w:cs="Times New Roman"/>
          <w:sz w:val="24"/>
          <w:szCs w:val="24"/>
        </w:rPr>
        <w:t>TSB Bank did not conduct a risk assessment to ascertain the effects they were likely to experience during the migration process. Before any improvements, it is usually necessary to test a system before deciding on making a change. Testing acts as reconnaissance to the main thing, and so any problems arising during the test can be modified before changing the entire thing. The examination should be thorough, and any observation made (no matter how minimal it might tend to be), it must be looked into properly before it influences the main activity. Failure to do such a thing would lead to an unseen failure which might end up causing great losses as was experienced by the TSB Bank in its migration of the customers’ record from the Lloyd Banking Group into Sabadell Proteo banking platform.</w:t>
      </w:r>
    </w:p>
    <w:p w14:paraId="5A17FD72" w14:textId="6562D2B5" w:rsidR="008A2804" w:rsidRPr="00016DAA" w:rsidRDefault="008A2804" w:rsidP="00016DAA">
      <w:pPr>
        <w:spacing w:after="0" w:line="480" w:lineRule="auto"/>
        <w:rPr>
          <w:rFonts w:ascii="Times New Roman" w:hAnsi="Times New Roman" w:cs="Times New Roman"/>
          <w:b/>
          <w:sz w:val="24"/>
          <w:szCs w:val="24"/>
        </w:rPr>
      </w:pPr>
      <w:r w:rsidRPr="00016DAA">
        <w:rPr>
          <w:rFonts w:ascii="Times New Roman" w:hAnsi="Times New Roman" w:cs="Times New Roman"/>
          <w:b/>
          <w:sz w:val="24"/>
          <w:szCs w:val="24"/>
        </w:rPr>
        <w:t>Conclusion</w:t>
      </w:r>
    </w:p>
    <w:p w14:paraId="12FAC33C" w14:textId="77777777" w:rsidR="00AC319E" w:rsidRDefault="00434FD1" w:rsidP="00AC319E">
      <w:pPr>
        <w:spacing w:after="0" w:line="480" w:lineRule="auto"/>
        <w:ind w:firstLine="720"/>
        <w:rPr>
          <w:rFonts w:ascii="Times New Roman" w:hAnsi="Times New Roman" w:cs="Times New Roman"/>
          <w:sz w:val="24"/>
          <w:szCs w:val="24"/>
        </w:rPr>
      </w:pPr>
      <w:r w:rsidRPr="00AC319E">
        <w:rPr>
          <w:rFonts w:ascii="Times New Roman" w:hAnsi="Times New Roman" w:cs="Times New Roman"/>
          <w:sz w:val="24"/>
          <w:szCs w:val="24"/>
        </w:rPr>
        <w:t xml:space="preserve">In conclusion, the renowned TSB Bank started to experience problems towards its aim of being competitive when it opted to migrate </w:t>
      </w:r>
      <w:r w:rsidRPr="00AC319E">
        <w:rPr>
          <w:rFonts w:ascii="Times New Roman" w:hAnsi="Times New Roman" w:cs="Times New Roman"/>
          <w:sz w:val="24"/>
          <w:szCs w:val="24"/>
        </w:rPr>
        <w:t>to Sabadell Proteo platform</w:t>
      </w:r>
      <w:r w:rsidRPr="00AC319E">
        <w:rPr>
          <w:rFonts w:ascii="Times New Roman" w:hAnsi="Times New Roman" w:cs="Times New Roman"/>
          <w:sz w:val="24"/>
          <w:szCs w:val="24"/>
        </w:rPr>
        <w:t xml:space="preserve">. This </w:t>
      </w:r>
      <w:r w:rsidR="008A2804" w:rsidRPr="00AC319E">
        <w:rPr>
          <w:rFonts w:ascii="Times New Roman" w:hAnsi="Times New Roman" w:cs="Times New Roman"/>
          <w:sz w:val="24"/>
          <w:szCs w:val="24"/>
        </w:rPr>
        <w:t xml:space="preserve">step which was associated with mobile banking services resulted to losses to the bank due to dissatisfaction of the customers. The failure of the move was due to some reasons such as naivety of the bank that everything will work pretty well and failed to take precautions. Another reason being failure to conduct risk assessment which is a vital exercise whenever a company intends to take any move.   </w:t>
      </w:r>
    </w:p>
    <w:p w14:paraId="31D922EE" w14:textId="77777777" w:rsidR="00AC319E" w:rsidRDefault="00AC319E">
      <w:pPr>
        <w:rPr>
          <w:rFonts w:ascii="Times New Roman" w:hAnsi="Times New Roman" w:cs="Times New Roman"/>
          <w:sz w:val="24"/>
          <w:szCs w:val="24"/>
        </w:rPr>
      </w:pPr>
      <w:r>
        <w:rPr>
          <w:rFonts w:ascii="Times New Roman" w:hAnsi="Times New Roman" w:cs="Times New Roman"/>
          <w:sz w:val="24"/>
          <w:szCs w:val="24"/>
        </w:rPr>
        <w:br w:type="page"/>
      </w:r>
    </w:p>
    <w:p w14:paraId="014A3BB3" w14:textId="559E0307" w:rsidR="007F670E" w:rsidRPr="00AC319E" w:rsidRDefault="007F670E" w:rsidP="00AC319E">
      <w:pPr>
        <w:spacing w:after="0" w:line="480" w:lineRule="auto"/>
        <w:ind w:firstLine="720"/>
        <w:jc w:val="center"/>
        <w:rPr>
          <w:rFonts w:ascii="Times New Roman" w:hAnsi="Times New Roman" w:cs="Times New Roman"/>
          <w:sz w:val="24"/>
          <w:szCs w:val="24"/>
        </w:rPr>
      </w:pPr>
      <w:r w:rsidRPr="00AC319E">
        <w:rPr>
          <w:rFonts w:ascii="Times New Roman" w:hAnsi="Times New Roman" w:cs="Times New Roman"/>
          <w:sz w:val="24"/>
          <w:szCs w:val="24"/>
        </w:rPr>
        <w:t>R</w:t>
      </w:r>
      <w:r w:rsidR="00AC319E">
        <w:rPr>
          <w:rFonts w:ascii="Times New Roman" w:hAnsi="Times New Roman" w:cs="Times New Roman"/>
          <w:sz w:val="24"/>
          <w:szCs w:val="24"/>
        </w:rPr>
        <w:t>eferences</w:t>
      </w:r>
    </w:p>
    <w:p w14:paraId="36CD3181" w14:textId="14CF95D3" w:rsidR="007F670E" w:rsidRPr="00AC319E" w:rsidRDefault="007F670E" w:rsidP="00AC319E">
      <w:pPr>
        <w:spacing w:after="0" w:line="480" w:lineRule="auto"/>
        <w:ind w:left="720" w:hanging="720"/>
        <w:rPr>
          <w:rStyle w:val="reference-accessdate"/>
          <w:rFonts w:ascii="Times New Roman" w:hAnsi="Times New Roman" w:cs="Times New Roman"/>
          <w:color w:val="222222"/>
          <w:sz w:val="24"/>
          <w:szCs w:val="24"/>
          <w:shd w:val="clear" w:color="auto" w:fill="FFFFFF"/>
        </w:rPr>
      </w:pPr>
      <w:r w:rsidRPr="00AC319E">
        <w:rPr>
          <w:rFonts w:ascii="Times New Roman" w:hAnsi="Times New Roman" w:cs="Times New Roman"/>
          <w:color w:val="222222"/>
          <w:sz w:val="24"/>
          <w:szCs w:val="24"/>
          <w:shd w:val="clear" w:color="auto" w:fill="FFFFFF"/>
        </w:rPr>
        <w:t>Angela</w:t>
      </w:r>
      <w:r w:rsidR="009A23CA" w:rsidRPr="00AC319E">
        <w:rPr>
          <w:rFonts w:ascii="Times New Roman" w:hAnsi="Times New Roman" w:cs="Times New Roman"/>
          <w:color w:val="222222"/>
          <w:sz w:val="24"/>
          <w:szCs w:val="24"/>
          <w:shd w:val="clear" w:color="auto" w:fill="FFFFFF"/>
        </w:rPr>
        <w:t>,</w:t>
      </w:r>
      <w:r w:rsidRPr="00AC319E">
        <w:rPr>
          <w:rFonts w:ascii="Times New Roman" w:hAnsi="Times New Roman" w:cs="Times New Roman"/>
          <w:color w:val="222222"/>
          <w:sz w:val="24"/>
          <w:szCs w:val="24"/>
          <w:shd w:val="clear" w:color="auto" w:fill="FFFFFF"/>
        </w:rPr>
        <w:t xml:space="preserve"> M, (2018). “TSB chief Paul Pester steps down after IT meltdown”.</w:t>
      </w:r>
      <w:r w:rsidRPr="00AC319E">
        <w:rPr>
          <w:rFonts w:ascii="Times New Roman" w:hAnsi="Times New Roman" w:cs="Times New Roman"/>
          <w:i/>
          <w:iCs/>
          <w:color w:val="222222"/>
          <w:sz w:val="24"/>
          <w:szCs w:val="24"/>
          <w:shd w:val="clear" w:color="auto" w:fill="FFFFFF"/>
        </w:rPr>
        <w:t xml:space="preserve"> the Guardian</w:t>
      </w:r>
      <w:r w:rsidRPr="00AC319E">
        <w:rPr>
          <w:rStyle w:val="reference-accessdate"/>
          <w:rFonts w:ascii="Times New Roman" w:hAnsi="Times New Roman" w:cs="Times New Roman"/>
          <w:color w:val="222222"/>
          <w:sz w:val="24"/>
          <w:szCs w:val="24"/>
          <w:shd w:val="clear" w:color="auto" w:fill="FFFFFF"/>
        </w:rPr>
        <w:t xml:space="preserve">. </w:t>
      </w:r>
    </w:p>
    <w:p w14:paraId="1953F0BA" w14:textId="62BDED09" w:rsidR="006F4289" w:rsidRPr="00AC319E" w:rsidRDefault="006F4289" w:rsidP="00AC319E">
      <w:pPr>
        <w:pStyle w:val="Heading1"/>
        <w:shd w:val="clear" w:color="auto" w:fill="FFFFFF"/>
        <w:spacing w:before="0" w:beforeAutospacing="0" w:after="0" w:afterAutospacing="0" w:line="480" w:lineRule="auto"/>
        <w:ind w:left="720" w:hanging="720"/>
        <w:rPr>
          <w:b w:val="0"/>
          <w:i/>
          <w:iCs/>
          <w:sz w:val="24"/>
          <w:szCs w:val="24"/>
          <w:shd w:val="clear" w:color="auto" w:fill="FFFFFF"/>
        </w:rPr>
      </w:pPr>
      <w:r w:rsidRPr="00AC319E">
        <w:rPr>
          <w:b w:val="0"/>
          <w:sz w:val="24"/>
          <w:szCs w:val="24"/>
          <w:shd w:val="clear" w:color="auto" w:fill="FFFFFF"/>
        </w:rPr>
        <w:t>Dunkley</w:t>
      </w:r>
      <w:r w:rsidR="009A23CA" w:rsidRPr="00AC319E">
        <w:rPr>
          <w:b w:val="0"/>
          <w:sz w:val="24"/>
          <w:szCs w:val="24"/>
          <w:shd w:val="clear" w:color="auto" w:fill="FFFFFF"/>
        </w:rPr>
        <w:t>,</w:t>
      </w:r>
      <w:r w:rsidRPr="00AC319E">
        <w:rPr>
          <w:b w:val="0"/>
          <w:sz w:val="24"/>
          <w:szCs w:val="24"/>
          <w:shd w:val="clear" w:color="auto" w:fill="FFFFFF"/>
        </w:rPr>
        <w:t xml:space="preserve"> E</w:t>
      </w:r>
      <w:r w:rsidR="009A23CA" w:rsidRPr="00AC319E">
        <w:rPr>
          <w:b w:val="0"/>
          <w:sz w:val="24"/>
          <w:szCs w:val="24"/>
          <w:shd w:val="clear" w:color="auto" w:fill="FFFFFF"/>
        </w:rPr>
        <w:t>.</w:t>
      </w:r>
      <w:r w:rsidRPr="00AC319E">
        <w:rPr>
          <w:b w:val="0"/>
          <w:sz w:val="24"/>
          <w:szCs w:val="24"/>
          <w:shd w:val="clear" w:color="auto" w:fill="FFFFFF"/>
        </w:rPr>
        <w:t xml:space="preserve"> (2015). </w:t>
      </w:r>
      <w:r w:rsidR="009A23CA" w:rsidRPr="00AC319E">
        <w:rPr>
          <w:b w:val="0"/>
          <w:sz w:val="24"/>
          <w:szCs w:val="24"/>
        </w:rPr>
        <w:t>“</w:t>
      </w:r>
      <w:hyperlink r:id="rId8" w:anchor="axzz3pOMTdpEA" w:history="1">
        <w:r w:rsidRPr="00AC319E">
          <w:rPr>
            <w:rStyle w:val="Hyperlink"/>
            <w:b w:val="0"/>
            <w:color w:val="auto"/>
            <w:sz w:val="24"/>
            <w:szCs w:val="24"/>
            <w:u w:val="none"/>
          </w:rPr>
          <w:t>Sabadell looks to TSB in UK growth strategy</w:t>
        </w:r>
      </w:hyperlink>
      <w:r w:rsidRPr="00AC319E">
        <w:rPr>
          <w:b w:val="0"/>
          <w:sz w:val="24"/>
          <w:szCs w:val="24"/>
        </w:rPr>
        <w:t>”</w:t>
      </w:r>
      <w:r w:rsidRPr="00AC319E">
        <w:rPr>
          <w:sz w:val="24"/>
          <w:szCs w:val="24"/>
          <w:shd w:val="clear" w:color="auto" w:fill="FFFFFF"/>
        </w:rPr>
        <w:t> </w:t>
      </w:r>
      <w:r w:rsidRPr="00AC319E">
        <w:rPr>
          <w:b w:val="0"/>
          <w:i/>
          <w:iCs/>
          <w:sz w:val="24"/>
          <w:szCs w:val="24"/>
          <w:shd w:val="clear" w:color="auto" w:fill="FFFFFF"/>
        </w:rPr>
        <w:t>Financial Times.</w:t>
      </w:r>
    </w:p>
    <w:p w14:paraId="4A0DF236" w14:textId="28398BA8" w:rsidR="006F4289" w:rsidRPr="00AC319E" w:rsidRDefault="006F4289" w:rsidP="00AC319E">
      <w:pPr>
        <w:pStyle w:val="Heading1"/>
        <w:shd w:val="clear" w:color="auto" w:fill="FFFFFF"/>
        <w:spacing w:before="0" w:beforeAutospacing="0" w:after="0" w:afterAutospacing="0" w:line="480" w:lineRule="auto"/>
        <w:ind w:left="720" w:hanging="720"/>
        <w:rPr>
          <w:b w:val="0"/>
          <w:iCs/>
          <w:sz w:val="24"/>
          <w:szCs w:val="24"/>
          <w:shd w:val="clear" w:color="auto" w:fill="FFFFFF"/>
        </w:rPr>
      </w:pPr>
      <w:r w:rsidRPr="00AC319E">
        <w:rPr>
          <w:b w:val="0"/>
          <w:iCs/>
          <w:sz w:val="24"/>
          <w:szCs w:val="24"/>
          <w:shd w:val="clear" w:color="auto" w:fill="FFFFFF"/>
        </w:rPr>
        <w:t>Flinders</w:t>
      </w:r>
      <w:r w:rsidR="009A23CA" w:rsidRPr="00AC319E">
        <w:rPr>
          <w:b w:val="0"/>
          <w:iCs/>
          <w:sz w:val="24"/>
          <w:szCs w:val="24"/>
          <w:shd w:val="clear" w:color="auto" w:fill="FFFFFF"/>
        </w:rPr>
        <w:t>,</w:t>
      </w:r>
      <w:r w:rsidRPr="00AC319E">
        <w:rPr>
          <w:b w:val="0"/>
          <w:iCs/>
          <w:sz w:val="24"/>
          <w:szCs w:val="24"/>
          <w:shd w:val="clear" w:color="auto" w:fill="FFFFFF"/>
        </w:rPr>
        <w:t xml:space="preserve"> K</w:t>
      </w:r>
      <w:r w:rsidR="009A23CA" w:rsidRPr="00AC319E">
        <w:rPr>
          <w:b w:val="0"/>
          <w:iCs/>
          <w:sz w:val="24"/>
          <w:szCs w:val="24"/>
          <w:shd w:val="clear" w:color="auto" w:fill="FFFFFF"/>
        </w:rPr>
        <w:t>.</w:t>
      </w:r>
      <w:r w:rsidRPr="00AC319E">
        <w:rPr>
          <w:b w:val="0"/>
          <w:iCs/>
          <w:sz w:val="24"/>
          <w:szCs w:val="24"/>
          <w:shd w:val="clear" w:color="auto" w:fill="FFFFFF"/>
        </w:rPr>
        <w:t xml:space="preserve"> (2018). </w:t>
      </w:r>
      <w:r w:rsidR="005D5260" w:rsidRPr="00AC319E">
        <w:rPr>
          <w:b w:val="0"/>
          <w:iCs/>
          <w:sz w:val="24"/>
          <w:szCs w:val="24"/>
          <w:shd w:val="clear" w:color="auto" w:fill="FFFFFF"/>
        </w:rPr>
        <w:t xml:space="preserve">“TSB refused help from Lloyds as IT meltdown began.” </w:t>
      </w:r>
      <w:r w:rsidR="005D5260" w:rsidRPr="00AC319E">
        <w:rPr>
          <w:b w:val="0"/>
          <w:i/>
          <w:iCs/>
          <w:sz w:val="24"/>
          <w:szCs w:val="24"/>
          <w:shd w:val="clear" w:color="auto" w:fill="FFFFFF"/>
        </w:rPr>
        <w:t xml:space="preserve">ComputerWeekly.com. </w:t>
      </w:r>
      <w:r w:rsidR="005D5260" w:rsidRPr="00AC319E">
        <w:rPr>
          <w:b w:val="0"/>
          <w:iCs/>
          <w:sz w:val="24"/>
          <w:szCs w:val="24"/>
          <w:shd w:val="clear" w:color="auto" w:fill="FFFFFF"/>
        </w:rPr>
        <w:t xml:space="preserve">Retrieved from: </w:t>
      </w:r>
      <w:hyperlink r:id="rId9" w:history="1">
        <w:r w:rsidR="005D5260" w:rsidRPr="00AC319E">
          <w:rPr>
            <w:rStyle w:val="Hyperlink"/>
            <w:b w:val="0"/>
            <w:spacing w:val="-5"/>
            <w:sz w:val="24"/>
            <w:szCs w:val="24"/>
          </w:rPr>
          <w:t>https://www.computerweekly.com/news/252441112/TSB-refused-help-from-Lloyds-as-IT-meltdown-began</w:t>
        </w:r>
      </w:hyperlink>
    </w:p>
    <w:p w14:paraId="5001FFD9" w14:textId="60146005" w:rsidR="006F4289" w:rsidRPr="00AC319E" w:rsidRDefault="006F4289" w:rsidP="00AC319E">
      <w:pPr>
        <w:shd w:val="clear" w:color="auto" w:fill="FCFCFC"/>
        <w:spacing w:after="0" w:line="480" w:lineRule="auto"/>
        <w:ind w:left="720" w:hanging="720"/>
        <w:rPr>
          <w:rFonts w:ascii="Times New Roman" w:eastAsia="Times New Roman" w:hAnsi="Times New Roman" w:cs="Times New Roman"/>
          <w:bCs/>
          <w:i/>
          <w:kern w:val="36"/>
          <w:sz w:val="24"/>
          <w:szCs w:val="24"/>
        </w:rPr>
      </w:pPr>
      <w:r w:rsidRPr="00AC319E">
        <w:rPr>
          <w:rFonts w:ascii="Times New Roman" w:hAnsi="Times New Roman" w:cs="Times New Roman"/>
          <w:bCs/>
          <w:sz w:val="24"/>
          <w:szCs w:val="24"/>
        </w:rPr>
        <w:t>Gleeson</w:t>
      </w:r>
      <w:r w:rsidR="009A23CA" w:rsidRPr="00AC319E">
        <w:rPr>
          <w:rFonts w:ascii="Times New Roman" w:hAnsi="Times New Roman" w:cs="Times New Roman"/>
          <w:bCs/>
          <w:sz w:val="24"/>
          <w:szCs w:val="24"/>
        </w:rPr>
        <w:t>,</w:t>
      </w:r>
      <w:r w:rsidRPr="00AC319E">
        <w:rPr>
          <w:rFonts w:ascii="Times New Roman" w:hAnsi="Times New Roman" w:cs="Times New Roman"/>
          <w:bCs/>
          <w:sz w:val="24"/>
          <w:szCs w:val="24"/>
        </w:rPr>
        <w:t xml:space="preserve"> B</w:t>
      </w:r>
      <w:r w:rsidR="009A23CA" w:rsidRPr="00AC319E">
        <w:rPr>
          <w:rFonts w:ascii="Times New Roman" w:hAnsi="Times New Roman" w:cs="Times New Roman"/>
          <w:bCs/>
          <w:sz w:val="24"/>
          <w:szCs w:val="24"/>
        </w:rPr>
        <w:t>.</w:t>
      </w:r>
      <w:r w:rsidRPr="00AC319E">
        <w:rPr>
          <w:rFonts w:ascii="Times New Roman" w:hAnsi="Times New Roman" w:cs="Times New Roman"/>
          <w:bCs/>
          <w:sz w:val="24"/>
          <w:szCs w:val="24"/>
        </w:rPr>
        <w:t xml:space="preserve"> (2017).”</w:t>
      </w:r>
      <w:r w:rsidRPr="00AC319E">
        <w:rPr>
          <w:rFonts w:ascii="Times New Roman" w:eastAsia="Times New Roman" w:hAnsi="Times New Roman" w:cs="Times New Roman"/>
          <w:bCs/>
          <w:kern w:val="36"/>
          <w:sz w:val="24"/>
          <w:szCs w:val="24"/>
        </w:rPr>
        <w:t xml:space="preserve">5 Powerful Steps to Improve Employee Engagement”. </w:t>
      </w:r>
      <w:r w:rsidRPr="00AC319E">
        <w:rPr>
          <w:rFonts w:ascii="Times New Roman" w:eastAsia="Times New Roman" w:hAnsi="Times New Roman" w:cs="Times New Roman"/>
          <w:bCs/>
          <w:i/>
          <w:kern w:val="36"/>
          <w:sz w:val="24"/>
          <w:szCs w:val="24"/>
        </w:rPr>
        <w:t>Forbes.</w:t>
      </w:r>
    </w:p>
    <w:p w14:paraId="08B47E28" w14:textId="343BB41F" w:rsidR="009A23CA" w:rsidRPr="00AC319E" w:rsidRDefault="009A23CA" w:rsidP="00AC319E">
      <w:pPr>
        <w:shd w:val="clear" w:color="auto" w:fill="FCFCFC"/>
        <w:spacing w:after="0" w:line="480" w:lineRule="auto"/>
        <w:ind w:left="720" w:hanging="720"/>
        <w:rPr>
          <w:rStyle w:val="reference-accessdate"/>
          <w:rFonts w:ascii="Times New Roman" w:eastAsia="Times New Roman" w:hAnsi="Times New Roman" w:cs="Times New Roman"/>
          <w:bCs/>
          <w:kern w:val="36"/>
          <w:sz w:val="24"/>
          <w:szCs w:val="24"/>
        </w:rPr>
      </w:pPr>
      <w:r w:rsidRPr="00AC319E">
        <w:rPr>
          <w:rStyle w:val="reference-accessdate"/>
          <w:rFonts w:ascii="Times New Roman" w:eastAsia="Times New Roman" w:hAnsi="Times New Roman" w:cs="Times New Roman"/>
          <w:bCs/>
          <w:kern w:val="36"/>
          <w:sz w:val="24"/>
          <w:szCs w:val="24"/>
        </w:rPr>
        <w:t>Holden, K., El-Bannany, M. (2004). Investment in information technology systems and other determinants of bank profitability in the UK, Applied Financial Economics.</w:t>
      </w:r>
    </w:p>
    <w:p w14:paraId="7179D2D7" w14:textId="4517D4FD" w:rsidR="004C66DC" w:rsidRPr="00AC319E" w:rsidRDefault="004C66DC" w:rsidP="00AC319E">
      <w:pPr>
        <w:shd w:val="clear" w:color="auto" w:fill="FCFCFC"/>
        <w:spacing w:after="0" w:line="480" w:lineRule="auto"/>
        <w:ind w:left="720" w:hanging="720"/>
        <w:rPr>
          <w:rStyle w:val="reference-accessdate"/>
          <w:rFonts w:ascii="Times New Roman" w:eastAsia="Times New Roman" w:hAnsi="Times New Roman" w:cs="Times New Roman"/>
          <w:bCs/>
          <w:kern w:val="36"/>
          <w:sz w:val="24"/>
          <w:szCs w:val="24"/>
        </w:rPr>
      </w:pPr>
      <w:r w:rsidRPr="00AC319E">
        <w:rPr>
          <w:rStyle w:val="reference-accessdate"/>
          <w:rFonts w:ascii="Times New Roman" w:eastAsia="Times New Roman" w:hAnsi="Times New Roman" w:cs="Times New Roman"/>
          <w:bCs/>
          <w:kern w:val="36"/>
          <w:sz w:val="24"/>
          <w:szCs w:val="24"/>
        </w:rPr>
        <w:t>Tanya, A. (2017). “TSB unveils new banking tech platform. Ptoteo4UK.” Fintech Futures.</w:t>
      </w:r>
    </w:p>
    <w:p w14:paraId="08C403F3" w14:textId="09AE867C" w:rsidR="007F670E" w:rsidRPr="00AC319E" w:rsidRDefault="005D5260" w:rsidP="00AC319E">
      <w:pPr>
        <w:pStyle w:val="Heading1"/>
        <w:shd w:val="clear" w:color="auto" w:fill="FFFFFF"/>
        <w:spacing w:before="0" w:beforeAutospacing="0" w:after="0" w:afterAutospacing="0" w:line="480" w:lineRule="auto"/>
        <w:ind w:left="720" w:hanging="720"/>
        <w:rPr>
          <w:b w:val="0"/>
          <w:bCs w:val="0"/>
          <w:sz w:val="24"/>
          <w:szCs w:val="24"/>
        </w:rPr>
      </w:pPr>
      <w:r w:rsidRPr="00AC319E">
        <w:rPr>
          <w:b w:val="0"/>
          <w:sz w:val="24"/>
          <w:szCs w:val="24"/>
        </w:rPr>
        <w:t>Torrance</w:t>
      </w:r>
      <w:r w:rsidR="009A23CA" w:rsidRPr="00AC319E">
        <w:rPr>
          <w:b w:val="0"/>
          <w:sz w:val="24"/>
          <w:szCs w:val="24"/>
        </w:rPr>
        <w:t xml:space="preserve">, </w:t>
      </w:r>
      <w:r w:rsidRPr="00AC319E">
        <w:rPr>
          <w:b w:val="0"/>
          <w:sz w:val="24"/>
          <w:szCs w:val="24"/>
        </w:rPr>
        <w:t>J</w:t>
      </w:r>
      <w:r w:rsidR="009A23CA" w:rsidRPr="00AC319E">
        <w:rPr>
          <w:b w:val="0"/>
          <w:sz w:val="24"/>
          <w:szCs w:val="24"/>
        </w:rPr>
        <w:t>.</w:t>
      </w:r>
      <w:r w:rsidRPr="00AC319E">
        <w:rPr>
          <w:b w:val="0"/>
          <w:sz w:val="24"/>
          <w:szCs w:val="24"/>
        </w:rPr>
        <w:t>, Bradshaw</w:t>
      </w:r>
      <w:r w:rsidR="009A23CA" w:rsidRPr="00AC319E">
        <w:rPr>
          <w:b w:val="0"/>
          <w:sz w:val="24"/>
          <w:szCs w:val="24"/>
        </w:rPr>
        <w:t xml:space="preserve">, </w:t>
      </w:r>
      <w:r w:rsidRPr="00AC319E">
        <w:rPr>
          <w:b w:val="0"/>
          <w:sz w:val="24"/>
          <w:szCs w:val="24"/>
        </w:rPr>
        <w:t>J</w:t>
      </w:r>
      <w:r w:rsidR="009A23CA" w:rsidRPr="00AC319E">
        <w:rPr>
          <w:b w:val="0"/>
          <w:sz w:val="24"/>
          <w:szCs w:val="24"/>
        </w:rPr>
        <w:t xml:space="preserve">. </w:t>
      </w:r>
      <w:r w:rsidRPr="00AC319E">
        <w:rPr>
          <w:b w:val="0"/>
          <w:sz w:val="24"/>
          <w:szCs w:val="24"/>
        </w:rPr>
        <w:t>(2018),</w:t>
      </w:r>
      <w:r w:rsidRPr="00AC319E">
        <w:rPr>
          <w:sz w:val="24"/>
          <w:szCs w:val="24"/>
        </w:rPr>
        <w:t xml:space="preserve"> “</w:t>
      </w:r>
      <w:r w:rsidRPr="00AC319E">
        <w:rPr>
          <w:b w:val="0"/>
          <w:bCs w:val="0"/>
          <w:sz w:val="24"/>
          <w:szCs w:val="24"/>
        </w:rPr>
        <w:t xml:space="preserve">TSB customers fear payments crunch as online banking outage </w:t>
      </w:r>
      <w:r w:rsidR="00F056DD" w:rsidRPr="00AC319E">
        <w:rPr>
          <w:b w:val="0"/>
          <w:bCs w:val="0"/>
          <w:sz w:val="24"/>
          <w:szCs w:val="24"/>
        </w:rPr>
        <w:t>heads towards</w:t>
      </w:r>
      <w:r w:rsidRPr="00AC319E">
        <w:rPr>
          <w:b w:val="0"/>
          <w:bCs w:val="0"/>
          <w:sz w:val="24"/>
          <w:szCs w:val="24"/>
        </w:rPr>
        <w:t xml:space="preserve"> payday”. </w:t>
      </w:r>
      <w:r w:rsidRPr="00AC319E">
        <w:rPr>
          <w:b w:val="0"/>
          <w:bCs w:val="0"/>
          <w:i/>
          <w:sz w:val="24"/>
          <w:szCs w:val="24"/>
        </w:rPr>
        <w:t xml:space="preserve">TheTelegraph. </w:t>
      </w:r>
      <w:r w:rsidRPr="00AC319E">
        <w:rPr>
          <w:b w:val="0"/>
          <w:bCs w:val="0"/>
          <w:sz w:val="24"/>
          <w:szCs w:val="24"/>
        </w:rPr>
        <w:t xml:space="preserve">Retrieved from: </w:t>
      </w:r>
      <w:hyperlink r:id="rId10" w:history="1">
        <w:r w:rsidRPr="00AC319E">
          <w:rPr>
            <w:rStyle w:val="Hyperlink"/>
            <w:b w:val="0"/>
            <w:bCs w:val="0"/>
            <w:sz w:val="24"/>
            <w:szCs w:val="24"/>
          </w:rPr>
          <w:t>https://www.telegraph.co.uk/business/2018/04/27/tsb-customers-fear-payday-crunch-online-banking-outage-heads/</w:t>
        </w:r>
      </w:hyperlink>
      <w:r w:rsidR="007F670E" w:rsidRPr="00AC319E">
        <w:rPr>
          <w:color w:val="222222"/>
          <w:sz w:val="24"/>
          <w:szCs w:val="24"/>
          <w:shd w:val="clear" w:color="auto" w:fill="FFFFFF"/>
        </w:rPr>
        <w:t xml:space="preserve"> </w:t>
      </w:r>
    </w:p>
    <w:p w14:paraId="7E55C8A7" w14:textId="5D10DD74" w:rsidR="004C66DC" w:rsidRPr="00AC319E" w:rsidRDefault="007F670E" w:rsidP="00AC319E">
      <w:pPr>
        <w:shd w:val="clear" w:color="auto" w:fill="FFFFFF"/>
        <w:spacing w:after="0" w:line="480" w:lineRule="auto"/>
        <w:ind w:left="720" w:hanging="720"/>
        <w:outlineLvl w:val="0"/>
        <w:rPr>
          <w:rStyle w:val="reference-accessdate"/>
          <w:rFonts w:ascii="Times New Roman" w:eastAsia="Times New Roman" w:hAnsi="Times New Roman" w:cs="Times New Roman"/>
          <w:kern w:val="36"/>
          <w:sz w:val="24"/>
          <w:szCs w:val="24"/>
        </w:rPr>
      </w:pPr>
      <w:r w:rsidRPr="00AC319E">
        <w:rPr>
          <w:rFonts w:ascii="Times New Roman" w:eastAsia="Times New Roman" w:hAnsi="Times New Roman" w:cs="Times New Roman"/>
          <w:kern w:val="36"/>
          <w:sz w:val="24"/>
          <w:szCs w:val="24"/>
        </w:rPr>
        <w:t>Wearden</w:t>
      </w:r>
      <w:r w:rsidR="009A23CA" w:rsidRPr="00AC319E">
        <w:rPr>
          <w:rFonts w:ascii="Times New Roman" w:eastAsia="Times New Roman" w:hAnsi="Times New Roman" w:cs="Times New Roman"/>
          <w:kern w:val="36"/>
          <w:sz w:val="24"/>
          <w:szCs w:val="24"/>
        </w:rPr>
        <w:t>,</w:t>
      </w:r>
      <w:r w:rsidRPr="00AC319E">
        <w:rPr>
          <w:rFonts w:ascii="Times New Roman" w:eastAsia="Times New Roman" w:hAnsi="Times New Roman" w:cs="Times New Roman"/>
          <w:kern w:val="36"/>
          <w:sz w:val="24"/>
          <w:szCs w:val="24"/>
        </w:rPr>
        <w:t xml:space="preserve"> G</w:t>
      </w:r>
      <w:r w:rsidR="009A23CA" w:rsidRPr="00AC319E">
        <w:rPr>
          <w:rFonts w:ascii="Times New Roman" w:eastAsia="Times New Roman" w:hAnsi="Times New Roman" w:cs="Times New Roman"/>
          <w:kern w:val="36"/>
          <w:sz w:val="24"/>
          <w:szCs w:val="24"/>
        </w:rPr>
        <w:t>.</w:t>
      </w:r>
      <w:r w:rsidRPr="00AC319E">
        <w:rPr>
          <w:rFonts w:ascii="Times New Roman" w:eastAsia="Times New Roman" w:hAnsi="Times New Roman" w:cs="Times New Roman"/>
          <w:kern w:val="36"/>
          <w:sz w:val="24"/>
          <w:szCs w:val="24"/>
        </w:rPr>
        <w:t xml:space="preserve"> (2018) “TSB hit by online banking chaos after IT migration”.</w:t>
      </w:r>
      <w:r w:rsidR="007504B9" w:rsidRPr="00AC319E">
        <w:rPr>
          <w:rFonts w:ascii="Times New Roman" w:eastAsia="Times New Roman" w:hAnsi="Times New Roman" w:cs="Times New Roman"/>
          <w:kern w:val="36"/>
          <w:sz w:val="24"/>
          <w:szCs w:val="24"/>
        </w:rPr>
        <w:t xml:space="preserve"> Retrieved from: </w:t>
      </w:r>
      <w:hyperlink r:id="rId11" w:history="1">
        <w:r w:rsidR="007504B9" w:rsidRPr="00AC319E">
          <w:rPr>
            <w:rStyle w:val="Hyperlink"/>
            <w:rFonts w:ascii="Times New Roman" w:hAnsi="Times New Roman" w:cs="Times New Roman"/>
            <w:sz w:val="24"/>
            <w:szCs w:val="24"/>
          </w:rPr>
          <w:t>https://www.theguardian.com/business/live/2018/apr/23/eurozone-growth-pmi-france-germany-us-bonds-3-percent-markets-business-live</w:t>
        </w:r>
      </w:hyperlink>
    </w:p>
    <w:p w14:paraId="6C449A43" w14:textId="78920F14" w:rsidR="007F670E" w:rsidRPr="00AC319E" w:rsidRDefault="004C66DC" w:rsidP="00AC319E">
      <w:pPr>
        <w:shd w:val="clear" w:color="auto" w:fill="FFFFFF"/>
        <w:spacing w:after="0" w:line="480" w:lineRule="auto"/>
        <w:ind w:left="720" w:hanging="720"/>
        <w:outlineLvl w:val="0"/>
        <w:rPr>
          <w:rFonts w:ascii="Times New Roman" w:eastAsia="Times New Roman" w:hAnsi="Times New Roman" w:cs="Times New Roman"/>
          <w:kern w:val="36"/>
          <w:sz w:val="24"/>
          <w:szCs w:val="24"/>
        </w:rPr>
      </w:pPr>
      <w:r w:rsidRPr="00AC319E">
        <w:rPr>
          <w:rFonts w:ascii="Times New Roman" w:eastAsia="Times New Roman" w:hAnsi="Times New Roman" w:cs="Times New Roman"/>
          <w:kern w:val="36"/>
          <w:sz w:val="24"/>
          <w:szCs w:val="24"/>
        </w:rPr>
        <w:t xml:space="preserve"> TSB BANK: A CASE STUDY</w:t>
      </w:r>
      <w:r w:rsidR="00AC319E">
        <w:rPr>
          <w:rFonts w:ascii="Times New Roman" w:eastAsia="Times New Roman" w:hAnsi="Times New Roman" w:cs="Times New Roman"/>
          <w:kern w:val="36"/>
          <w:sz w:val="24"/>
          <w:szCs w:val="24"/>
        </w:rPr>
        <w:t xml:space="preserve"> (2018)</w:t>
      </w:r>
      <w:r w:rsidRPr="00AC319E">
        <w:rPr>
          <w:rFonts w:ascii="Times New Roman" w:eastAsia="Times New Roman" w:hAnsi="Times New Roman" w:cs="Times New Roman"/>
          <w:kern w:val="36"/>
          <w:sz w:val="24"/>
          <w:szCs w:val="24"/>
        </w:rPr>
        <w:t xml:space="preserve">.” </w:t>
      </w:r>
      <w:r w:rsidRPr="00AC319E">
        <w:rPr>
          <w:rFonts w:ascii="Times New Roman" w:eastAsia="Times New Roman" w:hAnsi="Times New Roman" w:cs="Times New Roman"/>
          <w:i/>
          <w:kern w:val="36"/>
          <w:sz w:val="24"/>
          <w:szCs w:val="24"/>
        </w:rPr>
        <w:t>Risk Management,</w:t>
      </w:r>
      <w:r w:rsidRPr="00AC319E">
        <w:rPr>
          <w:rFonts w:ascii="Times New Roman" w:eastAsia="Times New Roman" w:hAnsi="Times New Roman" w:cs="Times New Roman"/>
          <w:kern w:val="36"/>
          <w:sz w:val="24"/>
          <w:szCs w:val="24"/>
        </w:rPr>
        <w:t xml:space="preserve"> p. 34. </w:t>
      </w:r>
      <w:r w:rsidRPr="00AC319E">
        <w:rPr>
          <w:rFonts w:ascii="Times New Roman" w:eastAsia="Times New Roman" w:hAnsi="Times New Roman" w:cs="Times New Roman"/>
          <w:i/>
          <w:kern w:val="36"/>
          <w:sz w:val="24"/>
          <w:szCs w:val="24"/>
        </w:rPr>
        <w:t xml:space="preserve">Business Collection. </w:t>
      </w:r>
      <w:r w:rsidRPr="00AC319E">
        <w:rPr>
          <w:rFonts w:ascii="Times New Roman" w:eastAsia="Times New Roman" w:hAnsi="Times New Roman" w:cs="Times New Roman"/>
          <w:kern w:val="36"/>
          <w:sz w:val="24"/>
          <w:szCs w:val="24"/>
        </w:rPr>
        <w:t>Accessed on 22</w:t>
      </w:r>
      <w:r w:rsidRPr="00AC319E">
        <w:rPr>
          <w:rFonts w:ascii="Times New Roman" w:eastAsia="Times New Roman" w:hAnsi="Times New Roman" w:cs="Times New Roman"/>
          <w:kern w:val="36"/>
          <w:sz w:val="24"/>
          <w:szCs w:val="24"/>
          <w:vertAlign w:val="superscript"/>
        </w:rPr>
        <w:t>nd</w:t>
      </w:r>
      <w:r w:rsidRPr="00AC319E">
        <w:rPr>
          <w:rFonts w:ascii="Times New Roman" w:eastAsia="Times New Roman" w:hAnsi="Times New Roman" w:cs="Times New Roman"/>
          <w:kern w:val="36"/>
          <w:sz w:val="24"/>
          <w:szCs w:val="24"/>
        </w:rPr>
        <w:t xml:space="preserve"> Feb 2019.</w:t>
      </w:r>
    </w:p>
    <w:p w14:paraId="4F0518AF" w14:textId="7553F601" w:rsidR="00485F96" w:rsidRPr="00AC319E" w:rsidRDefault="007F670E" w:rsidP="00AC319E">
      <w:pPr>
        <w:spacing w:after="0" w:line="480" w:lineRule="auto"/>
        <w:ind w:left="720" w:hanging="720"/>
        <w:rPr>
          <w:rFonts w:ascii="Times New Roman" w:hAnsi="Times New Roman" w:cs="Times New Roman"/>
          <w:sz w:val="24"/>
          <w:szCs w:val="24"/>
        </w:rPr>
      </w:pPr>
      <w:r w:rsidRPr="00AC319E">
        <w:rPr>
          <w:rFonts w:ascii="Times New Roman" w:hAnsi="Times New Roman" w:cs="Times New Roman"/>
          <w:sz w:val="24"/>
          <w:szCs w:val="24"/>
        </w:rPr>
        <w:t>TSB Bank plc. Companies House</w:t>
      </w:r>
      <w:r w:rsidR="00AC319E">
        <w:rPr>
          <w:rFonts w:ascii="Times New Roman" w:hAnsi="Times New Roman" w:cs="Times New Roman"/>
          <w:sz w:val="24"/>
          <w:szCs w:val="24"/>
        </w:rPr>
        <w:t xml:space="preserve"> (2018)</w:t>
      </w:r>
      <w:r w:rsidRPr="00AC319E">
        <w:rPr>
          <w:rFonts w:ascii="Times New Roman" w:hAnsi="Times New Roman" w:cs="Times New Roman"/>
          <w:sz w:val="24"/>
          <w:szCs w:val="24"/>
        </w:rPr>
        <w:t xml:space="preserve">. </w:t>
      </w:r>
    </w:p>
    <w:p w14:paraId="41848493" w14:textId="77777777" w:rsidR="007F670E" w:rsidRPr="00AC319E" w:rsidRDefault="007F670E" w:rsidP="00AC319E">
      <w:pPr>
        <w:pStyle w:val="Heading1"/>
        <w:shd w:val="clear" w:color="auto" w:fill="FFFFFF"/>
        <w:spacing w:before="0" w:beforeAutospacing="0" w:after="0" w:afterAutospacing="0" w:line="480" w:lineRule="auto"/>
        <w:rPr>
          <w:b w:val="0"/>
          <w:bCs w:val="0"/>
          <w:sz w:val="24"/>
          <w:szCs w:val="24"/>
        </w:rPr>
      </w:pPr>
    </w:p>
    <w:p w14:paraId="61B669B9" w14:textId="77777777" w:rsidR="007F670E" w:rsidRPr="00AC319E" w:rsidRDefault="007F670E" w:rsidP="00AC319E">
      <w:pPr>
        <w:spacing w:after="0" w:line="480" w:lineRule="auto"/>
        <w:rPr>
          <w:rFonts w:ascii="Times New Roman" w:hAnsi="Times New Roman" w:cs="Times New Roman"/>
          <w:sz w:val="24"/>
          <w:szCs w:val="24"/>
        </w:rPr>
      </w:pPr>
    </w:p>
    <w:sectPr w:rsidR="007F670E" w:rsidRPr="00AC319E" w:rsidSect="00016DAA">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9DBA73" w14:textId="77777777" w:rsidR="007E12BC" w:rsidRDefault="007E12BC" w:rsidP="005D5260">
      <w:pPr>
        <w:spacing w:after="0" w:line="240" w:lineRule="auto"/>
      </w:pPr>
      <w:r>
        <w:separator/>
      </w:r>
    </w:p>
  </w:endnote>
  <w:endnote w:type="continuationSeparator" w:id="0">
    <w:p w14:paraId="29093039" w14:textId="77777777" w:rsidR="007E12BC" w:rsidRDefault="007E12BC" w:rsidP="005D52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2DA94D" w14:textId="77777777" w:rsidR="007E12BC" w:rsidRDefault="007E12BC" w:rsidP="005D5260">
      <w:pPr>
        <w:spacing w:after="0" w:line="240" w:lineRule="auto"/>
      </w:pPr>
      <w:r>
        <w:separator/>
      </w:r>
    </w:p>
  </w:footnote>
  <w:footnote w:type="continuationSeparator" w:id="0">
    <w:p w14:paraId="0A96B1D3" w14:textId="77777777" w:rsidR="007E12BC" w:rsidRDefault="007E12BC" w:rsidP="005D52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63D818" w14:textId="3A10F728" w:rsidR="00631D30" w:rsidRPr="00016DAA" w:rsidRDefault="00016DAA" w:rsidP="00016DAA">
    <w:pPr>
      <w:pStyle w:val="Header"/>
      <w:tabs>
        <w:tab w:val="clear" w:pos="4680"/>
      </w:tabs>
    </w:pPr>
    <w:r w:rsidRPr="00016DAA">
      <w:rPr>
        <w:rFonts w:ascii="Times New Roman" w:hAnsi="Times New Roman" w:cs="Times New Roman"/>
        <w:sz w:val="24"/>
      </w:rPr>
      <w:t>TSB BANK –UK</w:t>
    </w:r>
    <w:r w:rsidRPr="00016DAA">
      <w:rPr>
        <w:rFonts w:ascii="Times New Roman" w:hAnsi="Times New Roman" w:cs="Times New Roman"/>
        <w:sz w:val="24"/>
      </w:rPr>
      <w:tab/>
    </w:r>
    <w:r w:rsidRPr="00016DAA">
      <w:rPr>
        <w:rFonts w:ascii="Times New Roman" w:hAnsi="Times New Roman" w:cs="Times New Roman"/>
        <w:sz w:val="24"/>
      </w:rPr>
      <w:fldChar w:fldCharType="begin"/>
    </w:r>
    <w:r w:rsidRPr="00016DAA">
      <w:rPr>
        <w:rFonts w:ascii="Times New Roman" w:hAnsi="Times New Roman" w:cs="Times New Roman"/>
        <w:sz w:val="24"/>
      </w:rPr>
      <w:instrText xml:space="preserve"> PAGE   \* MERGEFORMAT </w:instrText>
    </w:r>
    <w:r w:rsidRPr="00016DAA">
      <w:rPr>
        <w:rFonts w:ascii="Times New Roman" w:hAnsi="Times New Roman" w:cs="Times New Roman"/>
        <w:sz w:val="24"/>
      </w:rPr>
      <w:fldChar w:fldCharType="separate"/>
    </w:r>
    <w:r w:rsidR="0043162B">
      <w:rPr>
        <w:rFonts w:ascii="Times New Roman" w:hAnsi="Times New Roman" w:cs="Times New Roman"/>
        <w:noProof/>
        <w:sz w:val="24"/>
      </w:rPr>
      <w:t>7</w:t>
    </w:r>
    <w:r w:rsidRPr="00016DAA">
      <w:rPr>
        <w:rFonts w:ascii="Times New Roman" w:hAnsi="Times New Roman" w:cs="Times New Roman"/>
        <w:noProof/>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802AC2" w14:textId="310DB07A" w:rsidR="00016DAA" w:rsidRPr="00016DAA" w:rsidRDefault="00016DAA" w:rsidP="00016DAA">
    <w:pPr>
      <w:pStyle w:val="Header"/>
      <w:tabs>
        <w:tab w:val="clear" w:pos="4680"/>
      </w:tabs>
      <w:rPr>
        <w:rFonts w:ascii="Times New Roman" w:hAnsi="Times New Roman" w:cs="Times New Roman"/>
        <w:sz w:val="24"/>
      </w:rPr>
    </w:pPr>
    <w:r w:rsidRPr="00016DAA">
      <w:rPr>
        <w:rFonts w:ascii="Times New Roman" w:hAnsi="Times New Roman" w:cs="Times New Roman"/>
        <w:sz w:val="24"/>
      </w:rPr>
      <w:t>Running head: TSB BANK –UK</w:t>
    </w:r>
    <w:r w:rsidRPr="00016DAA">
      <w:rPr>
        <w:rFonts w:ascii="Times New Roman" w:hAnsi="Times New Roman" w:cs="Times New Roman"/>
        <w:sz w:val="24"/>
      </w:rPr>
      <w:tab/>
    </w:r>
    <w:r w:rsidRPr="00016DAA">
      <w:rPr>
        <w:rFonts w:ascii="Times New Roman" w:hAnsi="Times New Roman" w:cs="Times New Roman"/>
        <w:sz w:val="24"/>
      </w:rPr>
      <w:fldChar w:fldCharType="begin"/>
    </w:r>
    <w:r w:rsidRPr="00016DAA">
      <w:rPr>
        <w:rFonts w:ascii="Times New Roman" w:hAnsi="Times New Roman" w:cs="Times New Roman"/>
        <w:sz w:val="24"/>
      </w:rPr>
      <w:instrText xml:space="preserve"> PAGE   \* MERGEFORMAT </w:instrText>
    </w:r>
    <w:r w:rsidRPr="00016DAA">
      <w:rPr>
        <w:rFonts w:ascii="Times New Roman" w:hAnsi="Times New Roman" w:cs="Times New Roman"/>
        <w:sz w:val="24"/>
      </w:rPr>
      <w:fldChar w:fldCharType="separate"/>
    </w:r>
    <w:r w:rsidR="007E12BC">
      <w:rPr>
        <w:rFonts w:ascii="Times New Roman" w:hAnsi="Times New Roman" w:cs="Times New Roman"/>
        <w:noProof/>
        <w:sz w:val="24"/>
      </w:rPr>
      <w:t>1</w:t>
    </w:r>
    <w:r w:rsidRPr="00016DAA">
      <w:rPr>
        <w:rFonts w:ascii="Times New Roman" w:hAnsi="Times New Roman" w:cs="Times New Roman"/>
        <w:noProof/>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E56F8"/>
    <w:multiLevelType w:val="hybridMultilevel"/>
    <w:tmpl w:val="4D004B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70E"/>
    <w:rsid w:val="00016DAA"/>
    <w:rsid w:val="001C6029"/>
    <w:rsid w:val="001F6B21"/>
    <w:rsid w:val="0043162B"/>
    <w:rsid w:val="00434FD1"/>
    <w:rsid w:val="00485F96"/>
    <w:rsid w:val="004C66DC"/>
    <w:rsid w:val="005D5260"/>
    <w:rsid w:val="005D57A4"/>
    <w:rsid w:val="00631D30"/>
    <w:rsid w:val="006C2154"/>
    <w:rsid w:val="006D1304"/>
    <w:rsid w:val="006E13CB"/>
    <w:rsid w:val="006F4289"/>
    <w:rsid w:val="007504B9"/>
    <w:rsid w:val="007E12BC"/>
    <w:rsid w:val="007F670E"/>
    <w:rsid w:val="008A2804"/>
    <w:rsid w:val="009A23CA"/>
    <w:rsid w:val="00AC319E"/>
    <w:rsid w:val="00DE5D5F"/>
    <w:rsid w:val="00E7518D"/>
    <w:rsid w:val="00EE7DD7"/>
    <w:rsid w:val="00F05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020305"/>
  <w15:chartTrackingRefBased/>
  <w15:docId w15:val="{28806913-83D7-4F28-A149-9FC5E3BCF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670E"/>
  </w:style>
  <w:style w:type="paragraph" w:styleId="Heading1">
    <w:name w:val="heading 1"/>
    <w:basedOn w:val="Normal"/>
    <w:link w:val="Heading1Char"/>
    <w:uiPriority w:val="9"/>
    <w:qFormat/>
    <w:rsid w:val="007F670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670E"/>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7F670E"/>
    <w:rPr>
      <w:color w:val="0000FF"/>
      <w:u w:val="single"/>
    </w:rPr>
  </w:style>
  <w:style w:type="character" w:customStyle="1" w:styleId="reference-accessdate">
    <w:name w:val="reference-accessdate"/>
    <w:basedOn w:val="DefaultParagraphFont"/>
    <w:rsid w:val="007F670E"/>
  </w:style>
  <w:style w:type="character" w:customStyle="1" w:styleId="docurl">
    <w:name w:val="docurl"/>
    <w:basedOn w:val="DefaultParagraphFont"/>
    <w:rsid w:val="007F670E"/>
  </w:style>
  <w:style w:type="paragraph" w:styleId="Header">
    <w:name w:val="header"/>
    <w:basedOn w:val="Normal"/>
    <w:link w:val="HeaderChar"/>
    <w:uiPriority w:val="99"/>
    <w:unhideWhenUsed/>
    <w:rsid w:val="007F67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670E"/>
  </w:style>
  <w:style w:type="character" w:customStyle="1" w:styleId="UnresolvedMention">
    <w:name w:val="Unresolved Mention"/>
    <w:basedOn w:val="DefaultParagraphFont"/>
    <w:uiPriority w:val="99"/>
    <w:semiHidden/>
    <w:unhideWhenUsed/>
    <w:rsid w:val="007F670E"/>
    <w:rPr>
      <w:color w:val="605E5C"/>
      <w:shd w:val="clear" w:color="auto" w:fill="E1DFDD"/>
    </w:rPr>
  </w:style>
  <w:style w:type="paragraph" w:styleId="Footer">
    <w:name w:val="footer"/>
    <w:basedOn w:val="Normal"/>
    <w:link w:val="FooterChar"/>
    <w:uiPriority w:val="99"/>
    <w:unhideWhenUsed/>
    <w:rsid w:val="005D52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52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t.com/cms/s/0/d72b662a-668d-11e5-a57f-21b88f7d973f.html"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heguardian.com/business/live/2018/apr/23/eurozone-growth-pmi-france-germany-us-bonds-3-percent-markets-business-liv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telegraph.co.uk/business/2018/04/27/tsb-customers-fear-payday-crunch-online-banking-outage-heads/" TargetMode="External"/><Relationship Id="rId4" Type="http://schemas.openxmlformats.org/officeDocument/2006/relationships/settings" Target="settings.xml"/><Relationship Id="rId9" Type="http://schemas.openxmlformats.org/officeDocument/2006/relationships/hyperlink" Target="https://www.computerweekly.com/news/252441112/TSB-refused-help-from-Lloyds-as-IT-meltdown-bega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D70989-C10D-4F67-A76D-FA38F3DA8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1522</Words>
  <Characters>8678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Mwas Statistician</dc:creator>
  <cp:keywords/>
  <dc:description/>
  <cp:lastModifiedBy>hp15</cp:lastModifiedBy>
  <cp:revision>2</cp:revision>
  <dcterms:created xsi:type="dcterms:W3CDTF">2019-02-20T05:58:00Z</dcterms:created>
  <dcterms:modified xsi:type="dcterms:W3CDTF">2019-02-20T05:58:00Z</dcterms:modified>
</cp:coreProperties>
</file>